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959" w:rsidRDefault="00AD7785">
      <w:pPr>
        <w:shd w:val="clear" w:color="auto" w:fill="FFFFFF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Template letter to businesses requiring proof of vaccination or negative PCR test to access their premises.</w:t>
      </w:r>
    </w:p>
    <w:p w14:paraId="00000002" w14:textId="77777777" w:rsidR="001E0959" w:rsidRDefault="001E0959">
      <w:pPr>
        <w:shd w:val="clear" w:color="auto" w:fill="FFFFFF"/>
        <w:rPr>
          <w:rFonts w:ascii="Montserrat" w:eastAsia="Montserrat" w:hAnsi="Montserrat" w:cs="Montserrat"/>
          <w:b/>
        </w:rPr>
      </w:pPr>
    </w:p>
    <w:p w14:paraId="00000003" w14:textId="77777777" w:rsidR="001E0959" w:rsidRDefault="001E0959">
      <w:pPr>
        <w:shd w:val="clear" w:color="auto" w:fill="FFFFFF"/>
        <w:rPr>
          <w:rFonts w:ascii="Montserrat" w:eastAsia="Montserrat" w:hAnsi="Montserrat" w:cs="Montserrat"/>
          <w:b/>
        </w:rPr>
      </w:pPr>
    </w:p>
    <w:p w14:paraId="00000004" w14:textId="77777777" w:rsidR="001E0959" w:rsidRDefault="00AD7785">
      <w:pPr>
        <w:shd w:val="clear" w:color="auto" w:fill="FFFFFF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Dear ………………</w:t>
      </w:r>
      <w:proofErr w:type="gramStart"/>
      <w:r>
        <w:rPr>
          <w:rFonts w:ascii="Montserrat" w:eastAsia="Montserrat" w:hAnsi="Montserrat" w:cs="Montserrat"/>
          <w:b/>
        </w:rPr>
        <w:t>…..</w:t>
      </w:r>
      <w:proofErr w:type="gramEnd"/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  <w:i/>
          <w:color w:val="999999"/>
        </w:rPr>
        <w:t>[name of the company]</w:t>
      </w:r>
      <w:r>
        <w:rPr>
          <w:rFonts w:ascii="Montserrat" w:eastAsia="Montserrat" w:hAnsi="Montserrat" w:cs="Montserrat"/>
          <w:i/>
          <w:color w:val="669D34"/>
        </w:rPr>
        <w:t xml:space="preserve"> </w:t>
      </w:r>
      <w:r>
        <w:rPr>
          <w:rFonts w:ascii="Montserrat" w:eastAsia="Montserrat" w:hAnsi="Montserrat" w:cs="Montserrat"/>
          <w:b/>
        </w:rPr>
        <w:t>management,</w:t>
      </w:r>
    </w:p>
    <w:p w14:paraId="00000005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06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It has come to my attention that you are not allowing </w:t>
      </w:r>
      <w:r>
        <w:rPr>
          <w:rFonts w:ascii="Montserrat" w:eastAsia="Montserrat" w:hAnsi="Montserrat" w:cs="Montserrat"/>
          <w:color w:val="999999"/>
        </w:rPr>
        <w:t>parents/ clients</w:t>
      </w:r>
      <w:r>
        <w:rPr>
          <w:rFonts w:ascii="Montserrat" w:eastAsia="Montserrat" w:hAnsi="Montserrat" w:cs="Montserrat"/>
        </w:rPr>
        <w:t xml:space="preserve"> to enter your premises without proof of Covid-19 vaccination or a negative PCR test.</w:t>
      </w:r>
    </w:p>
    <w:p w14:paraId="00000007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08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appreciate that you are trying to ensure the safety of your clients, however, I urge you to consi</w:t>
      </w:r>
      <w:r>
        <w:rPr>
          <w:rFonts w:ascii="Montserrat" w:eastAsia="Montserrat" w:hAnsi="Montserrat" w:cs="Montserrat"/>
        </w:rPr>
        <w:t>der the following points:</w:t>
      </w:r>
    </w:p>
    <w:p w14:paraId="00000009" w14:textId="77777777" w:rsidR="001E0959" w:rsidRDefault="00AD7785">
      <w:pPr>
        <w:shd w:val="clear" w:color="auto" w:fill="FFFFFF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What are the benefits of implementing such a policy? </w:t>
      </w:r>
    </w:p>
    <w:p w14:paraId="0000000A" w14:textId="77777777" w:rsidR="001E0959" w:rsidRDefault="00AD7785">
      <w:pPr>
        <w:shd w:val="clear" w:color="auto" w:fill="FFFFFF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are the costs?</w:t>
      </w:r>
    </w:p>
    <w:p w14:paraId="0000000B" w14:textId="77777777" w:rsidR="001E0959" w:rsidRDefault="00AD7785">
      <w:pPr>
        <w:shd w:val="clear" w:color="auto" w:fill="FFFFFF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Are businesses entitled to discriminate against people based on their health preferences/ status? </w:t>
      </w:r>
    </w:p>
    <w:p w14:paraId="0000000C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0D" w14:textId="2CAB61D9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Here are some facts for your attention</w:t>
      </w:r>
      <w:r>
        <w:rPr>
          <w:rFonts w:ascii="Montserrat" w:eastAsia="Montserrat" w:hAnsi="Montserrat" w:cs="Montserrat"/>
        </w:rPr>
        <w:t>:</w:t>
      </w:r>
    </w:p>
    <w:p w14:paraId="0000000E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0F" w14:textId="77777777" w:rsidR="001E0959" w:rsidRDefault="00AD7785">
      <w:pPr>
        <w:shd w:val="clear" w:color="auto" w:fill="FFFFFF"/>
        <w:rPr>
          <w:rFonts w:ascii="Montserrat" w:eastAsia="Montserrat" w:hAnsi="Montserrat" w:cs="Montserrat"/>
          <w:i/>
          <w:color w:val="999999"/>
        </w:rPr>
      </w:pPr>
      <w:r>
        <w:rPr>
          <w:rFonts w:ascii="Montserrat" w:eastAsia="Montserrat" w:hAnsi="Montserrat" w:cs="Montserrat"/>
        </w:rPr>
        <w:t>1. The Covid-19</w:t>
      </w:r>
      <w:r>
        <w:rPr>
          <w:rFonts w:ascii="Montserrat" w:eastAsia="Montserrat" w:hAnsi="Montserrat" w:cs="Montserrat"/>
        </w:rPr>
        <w:t xml:space="preserve"> injections are not mandated by the …</w:t>
      </w:r>
      <w:proofErr w:type="gramStart"/>
      <w:r>
        <w:rPr>
          <w:rFonts w:ascii="Montserrat" w:eastAsia="Montserrat" w:hAnsi="Montserrat" w:cs="Montserrat"/>
        </w:rPr>
        <w:t>…..</w:t>
      </w:r>
      <w:proofErr w:type="gramEnd"/>
      <w:r>
        <w:rPr>
          <w:rFonts w:ascii="Montserrat" w:eastAsia="Montserrat" w:hAnsi="Montserrat" w:cs="Montserrat"/>
        </w:rPr>
        <w:t xml:space="preserve">……. </w:t>
      </w:r>
      <w:r>
        <w:rPr>
          <w:rFonts w:ascii="Montserrat" w:eastAsia="Montserrat" w:hAnsi="Montserrat" w:cs="Montserrat"/>
          <w:i/>
          <w:color w:val="999999"/>
        </w:rPr>
        <w:t xml:space="preserve">[name of country] </w:t>
      </w:r>
      <w:r>
        <w:rPr>
          <w:rFonts w:ascii="Montserrat" w:eastAsia="Montserrat" w:hAnsi="Montserrat" w:cs="Montserrat"/>
        </w:rPr>
        <w:t>government</w:t>
      </w:r>
      <w:r>
        <w:rPr>
          <w:rFonts w:ascii="Montserrat" w:eastAsia="Montserrat" w:hAnsi="Montserrat" w:cs="Montserrat"/>
          <w:i/>
          <w:color w:val="669D34"/>
        </w:rPr>
        <w:t xml:space="preserve">. </w:t>
      </w:r>
      <w:r>
        <w:rPr>
          <w:rFonts w:ascii="Montserrat" w:eastAsia="Montserrat" w:hAnsi="Montserrat" w:cs="Montserrat"/>
          <w:i/>
          <w:color w:val="999999"/>
        </w:rPr>
        <w:t>[hyperlink a reference or delete this sentence if not applicable]</w:t>
      </w:r>
    </w:p>
    <w:p w14:paraId="00000010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Under all biomedical ethical guidelines, individuals have the right to </w:t>
      </w:r>
      <w:r>
        <w:rPr>
          <w:rFonts w:ascii="Montserrat" w:eastAsia="Montserrat" w:hAnsi="Montserrat" w:cs="Montserrat"/>
          <w:b/>
        </w:rPr>
        <w:t>informed consent</w:t>
      </w:r>
      <w:r>
        <w:rPr>
          <w:rFonts w:ascii="Montserrat" w:eastAsia="Montserrat" w:hAnsi="Montserrat" w:cs="Montserrat"/>
        </w:rPr>
        <w:t xml:space="preserve"> (the right to consent to a m</w:t>
      </w:r>
      <w:r>
        <w:rPr>
          <w:rFonts w:ascii="Montserrat" w:eastAsia="Montserrat" w:hAnsi="Montserrat" w:cs="Montserrat"/>
        </w:rPr>
        <w:t xml:space="preserve">edical procedure without pressure, </w:t>
      </w:r>
      <w:proofErr w:type="gramStart"/>
      <w:r>
        <w:rPr>
          <w:rFonts w:ascii="Montserrat" w:eastAsia="Montserrat" w:hAnsi="Montserrat" w:cs="Montserrat"/>
        </w:rPr>
        <w:t>coercion</w:t>
      </w:r>
      <w:proofErr w:type="gramEnd"/>
      <w:r>
        <w:rPr>
          <w:rFonts w:ascii="Montserrat" w:eastAsia="Montserrat" w:hAnsi="Montserrat" w:cs="Montserrat"/>
        </w:rPr>
        <w:t xml:space="preserve"> or force) and </w:t>
      </w:r>
      <w:r>
        <w:rPr>
          <w:rFonts w:ascii="Montserrat" w:eastAsia="Montserrat" w:hAnsi="Montserrat" w:cs="Montserrat"/>
          <w:b/>
        </w:rPr>
        <w:t>bodily autonomy</w:t>
      </w:r>
      <w:r>
        <w:rPr>
          <w:rFonts w:ascii="Montserrat" w:eastAsia="Montserrat" w:hAnsi="Montserrat" w:cs="Montserrat"/>
        </w:rPr>
        <w:t xml:space="preserve"> (the right to make decisions pertaining to one’s body and health). Consider reading this </w:t>
      </w:r>
      <w:hyperlink r:id="rId4">
        <w:r>
          <w:rPr>
            <w:rFonts w:ascii="Montserrat" w:eastAsia="Montserrat" w:hAnsi="Montserrat" w:cs="Montserrat"/>
            <w:color w:val="0097A7"/>
          </w:rPr>
          <w:t>informed consent for the Covid-1</w:t>
        </w:r>
        <w:r>
          <w:rPr>
            <w:rFonts w:ascii="Montserrat" w:eastAsia="Montserrat" w:hAnsi="Montserrat" w:cs="Montserrat"/>
            <w:color w:val="0097A7"/>
          </w:rPr>
          <w:t>9 injections</w:t>
        </w:r>
      </w:hyperlink>
      <w:r>
        <w:rPr>
          <w:rFonts w:ascii="Montserrat" w:eastAsia="Montserrat" w:hAnsi="Montserrat" w:cs="Montserrat"/>
        </w:rPr>
        <w:t>.</w:t>
      </w:r>
    </w:p>
    <w:p w14:paraId="00000011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12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 Unvaccinated individuals don’t pose a higher risk to society than vaccinated individuals. Vaccinated individuals </w:t>
      </w:r>
      <w:hyperlink r:id="rId5">
        <w:r>
          <w:rPr>
            <w:rFonts w:ascii="Montserrat" w:eastAsia="Montserrat" w:hAnsi="Montserrat" w:cs="Montserrat"/>
            <w:color w:val="0097A7"/>
          </w:rPr>
          <w:t>catch</w:t>
        </w:r>
      </w:hyperlink>
      <w:r>
        <w:rPr>
          <w:rFonts w:ascii="Montserrat" w:eastAsia="Montserrat" w:hAnsi="Montserrat" w:cs="Montserrat"/>
        </w:rPr>
        <w:t xml:space="preserve"> and </w:t>
      </w:r>
      <w:hyperlink r:id="rId6">
        <w:r>
          <w:rPr>
            <w:rFonts w:ascii="Montserrat" w:eastAsia="Montserrat" w:hAnsi="Montserrat" w:cs="Montserrat"/>
            <w:color w:val="0097A7"/>
          </w:rPr>
          <w:t>spread</w:t>
        </w:r>
      </w:hyperlink>
      <w:r>
        <w:rPr>
          <w:rFonts w:ascii="Montserrat" w:eastAsia="Montserrat" w:hAnsi="Montserrat" w:cs="Montserrat"/>
        </w:rPr>
        <w:t xml:space="preserve"> the virus to others in a </w:t>
      </w:r>
      <w:hyperlink r:id="rId7" w:anchor="%20">
        <w:r>
          <w:rPr>
            <w:rFonts w:ascii="Montserrat" w:eastAsia="Montserrat" w:hAnsi="Montserrat" w:cs="Montserrat"/>
            <w:color w:val="0097A7"/>
          </w:rPr>
          <w:t>similar way</w:t>
        </w:r>
      </w:hyperlink>
      <w:r>
        <w:rPr>
          <w:rFonts w:ascii="Montserrat" w:eastAsia="Montserrat" w:hAnsi="Montserrat" w:cs="Montserrat"/>
        </w:rPr>
        <w:t xml:space="preserve">, and sometimes </w:t>
      </w:r>
      <w:hyperlink r:id="rId8">
        <w:r>
          <w:rPr>
            <w:rFonts w:ascii="Montserrat" w:eastAsia="Montserrat" w:hAnsi="Montserrat" w:cs="Montserrat"/>
            <w:color w:val="0097A7"/>
          </w:rPr>
          <w:t>more</w:t>
        </w:r>
      </w:hyperlink>
      <w:r>
        <w:rPr>
          <w:rFonts w:ascii="Montserrat" w:eastAsia="Montserrat" w:hAnsi="Montserrat" w:cs="Montserrat"/>
        </w:rPr>
        <w:t>, than unvaccinated people.</w:t>
      </w:r>
    </w:p>
    <w:p w14:paraId="00000013" w14:textId="77777777" w:rsidR="001E0959" w:rsidRDefault="001E0959">
      <w:pPr>
        <w:rPr>
          <w:rFonts w:ascii="Montserrat" w:eastAsia="Montserrat" w:hAnsi="Montserrat" w:cs="Montserrat"/>
          <w:highlight w:val="white"/>
        </w:rPr>
      </w:pPr>
    </w:p>
    <w:p w14:paraId="00000014" w14:textId="77777777" w:rsidR="001E0959" w:rsidRDefault="00AD7785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3.</w:t>
      </w:r>
      <w:r>
        <w:rPr>
          <w:rFonts w:ascii="Montserrat" w:eastAsia="Montserrat" w:hAnsi="Montserrat" w:cs="Montserrat"/>
          <w:highlight w:val="white"/>
        </w:rPr>
        <w:t xml:space="preserve">  The PCR tests</w:t>
      </w:r>
      <w:r>
        <w:rPr>
          <w:rFonts w:ascii="Montserrat" w:eastAsia="Montserrat" w:hAnsi="Montserrat" w:cs="Montserrat"/>
        </w:rPr>
        <w:t xml:space="preserve"> are very unreliable in determining infectiousness, especially</w:t>
      </w:r>
      <w:r>
        <w:rPr>
          <w:rFonts w:ascii="Montserrat" w:eastAsia="Montserrat" w:hAnsi="Montserrat" w:cs="Montserrat"/>
          <w:highlight w:val="white"/>
        </w:rPr>
        <w:t xml:space="preserve"> at high cycle thresholds (e.g., </w:t>
      </w:r>
      <w:hyperlink r:id="rId9">
        <w:r>
          <w:rPr>
            <w:rFonts w:ascii="Montserrat" w:eastAsia="Montserrat" w:hAnsi="Montserrat" w:cs="Montserrat"/>
            <w:color w:val="0097A7"/>
            <w:highlight w:val="white"/>
          </w:rPr>
          <w:t>97%</w:t>
        </w:r>
      </w:hyperlink>
      <w:r>
        <w:rPr>
          <w:rFonts w:ascii="Montserrat" w:eastAsia="Montserrat" w:hAnsi="Montserrat" w:cs="Montserrat"/>
          <w:highlight w:val="white"/>
        </w:rPr>
        <w:t xml:space="preserve"> of positive tests are false at Ct of 35) and may remain positive fo</w:t>
      </w:r>
      <w:r>
        <w:rPr>
          <w:rFonts w:ascii="Montserrat" w:eastAsia="Montserrat" w:hAnsi="Montserrat" w:cs="Montserrat"/>
          <w:highlight w:val="white"/>
        </w:rPr>
        <w:t xml:space="preserve">r up to </w:t>
      </w:r>
      <w:hyperlink r:id="rId10">
        <w:r>
          <w:rPr>
            <w:rFonts w:ascii="Montserrat" w:eastAsia="Montserrat" w:hAnsi="Montserrat" w:cs="Montserrat"/>
            <w:color w:val="0097A7"/>
            <w:highlight w:val="white"/>
          </w:rPr>
          <w:t>3 months</w:t>
        </w:r>
      </w:hyperlink>
      <w:r>
        <w:rPr>
          <w:rFonts w:ascii="Montserrat" w:eastAsia="Montserrat" w:hAnsi="Montserrat" w:cs="Montserrat"/>
          <w:highlight w:val="white"/>
        </w:rPr>
        <w:t xml:space="preserve"> following infection when the individual is no longer infectious.</w:t>
      </w:r>
    </w:p>
    <w:p w14:paraId="00000015" w14:textId="77777777" w:rsidR="001E0959" w:rsidRDefault="001E0959">
      <w:pPr>
        <w:rPr>
          <w:rFonts w:ascii="Montserrat" w:eastAsia="Montserrat" w:hAnsi="Montserrat" w:cs="Montserrat"/>
          <w:highlight w:val="white"/>
        </w:rPr>
      </w:pPr>
    </w:p>
    <w:p w14:paraId="00000016" w14:textId="77777777" w:rsidR="001E0959" w:rsidRDefault="00AD7785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4. Recovered individuals have far better </w:t>
      </w:r>
      <w:hyperlink r:id="rId11">
        <w:r>
          <w:rPr>
            <w:rFonts w:ascii="Montserrat" w:eastAsia="Montserrat" w:hAnsi="Montserrat" w:cs="Montserrat"/>
            <w:color w:val="0097A7"/>
            <w:highlight w:val="white"/>
          </w:rPr>
          <w:t>immunity</w:t>
        </w:r>
      </w:hyperlink>
      <w:r>
        <w:rPr>
          <w:rFonts w:ascii="Montserrat" w:eastAsia="Montserrat" w:hAnsi="Montserrat" w:cs="Montserrat"/>
          <w:highlight w:val="white"/>
        </w:rPr>
        <w:t xml:space="preserve"> against further infection or transmission than the vaccines provide. </w:t>
      </w:r>
    </w:p>
    <w:p w14:paraId="00000017" w14:textId="77777777" w:rsidR="001E0959" w:rsidRDefault="001E0959">
      <w:pPr>
        <w:shd w:val="clear" w:color="auto" w:fill="FFFFFF"/>
        <w:rPr>
          <w:rFonts w:ascii="Montserrat" w:eastAsia="Montserrat" w:hAnsi="Montserrat" w:cs="Montserrat"/>
          <w:sz w:val="18"/>
          <w:szCs w:val="18"/>
          <w:highlight w:val="white"/>
        </w:rPr>
      </w:pPr>
    </w:p>
    <w:p w14:paraId="00000018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Exerting social pressure on individuals to influence their medical choices is wrong mor</w:t>
      </w:r>
      <w:r>
        <w:rPr>
          <w:rFonts w:ascii="Montserrat" w:eastAsia="Montserrat" w:hAnsi="Montserrat" w:cs="Montserrat"/>
        </w:rPr>
        <w:t xml:space="preserve">ally and ethically. It leads to individuals, who do </w:t>
      </w:r>
      <w:proofErr w:type="gramStart"/>
      <w:r>
        <w:rPr>
          <w:rFonts w:ascii="Montserrat" w:eastAsia="Montserrat" w:hAnsi="Montserrat" w:cs="Montserrat"/>
        </w:rPr>
        <w:t>not  benefit</w:t>
      </w:r>
      <w:proofErr w:type="gramEnd"/>
      <w:r>
        <w:rPr>
          <w:rFonts w:ascii="Montserrat" w:eastAsia="Montserrat" w:hAnsi="Montserrat" w:cs="Montserrat"/>
        </w:rPr>
        <w:t xml:space="preserve"> from the Covid-19 injections, to be injected in order to be able to access services. They are thus endangering their lives through risking potential adverse events associated with the injecti</w:t>
      </w:r>
      <w:r>
        <w:rPr>
          <w:rFonts w:ascii="Montserrat" w:eastAsia="Montserrat" w:hAnsi="Montserrat" w:cs="Montserrat"/>
        </w:rPr>
        <w:t xml:space="preserve">ons.  </w:t>
      </w:r>
    </w:p>
    <w:p w14:paraId="00000019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1A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Although your policy is well-intentioned, its inherent discriminatory nature can have serious deleterious implications on society.</w:t>
      </w:r>
    </w:p>
    <w:p w14:paraId="0000001B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Discriminatory policies have never served us well in the past. </w:t>
      </w:r>
    </w:p>
    <w:p w14:paraId="0000001C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1D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 am happy to </w:t>
      </w:r>
      <w:proofErr w:type="gramStart"/>
      <w:r>
        <w:rPr>
          <w:rFonts w:ascii="Montserrat" w:eastAsia="Montserrat" w:hAnsi="Montserrat" w:cs="Montserrat"/>
        </w:rPr>
        <w:t>discuss  any</w:t>
      </w:r>
      <w:proofErr w:type="gramEnd"/>
      <w:r>
        <w:rPr>
          <w:rFonts w:ascii="Montserrat" w:eastAsia="Montserrat" w:hAnsi="Montserrat" w:cs="Montserrat"/>
        </w:rPr>
        <w:t xml:space="preserve"> of the above with you at your convenience. </w:t>
      </w:r>
    </w:p>
    <w:p w14:paraId="0000001E" w14:textId="77777777" w:rsidR="001E0959" w:rsidRDefault="001E0959">
      <w:pPr>
        <w:shd w:val="clear" w:color="auto" w:fill="FFFFFF"/>
        <w:rPr>
          <w:rFonts w:ascii="Montserrat" w:eastAsia="Montserrat" w:hAnsi="Montserrat" w:cs="Montserrat"/>
        </w:rPr>
      </w:pPr>
    </w:p>
    <w:p w14:paraId="0000001F" w14:textId="77777777" w:rsidR="001E0959" w:rsidRDefault="00AD7785">
      <w:pPr>
        <w:shd w:val="clear" w:color="auto" w:fill="FFFFFF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Kind Regards,</w:t>
      </w:r>
    </w:p>
    <w:p w14:paraId="00000020" w14:textId="77777777" w:rsidR="001E0959" w:rsidRDefault="001E0959">
      <w:pPr>
        <w:rPr>
          <w:rFonts w:ascii="Montserrat" w:eastAsia="Montserrat" w:hAnsi="Montserrat" w:cs="Montserrat"/>
        </w:rPr>
      </w:pPr>
    </w:p>
    <w:p w14:paraId="00000021" w14:textId="77777777" w:rsidR="001E0959" w:rsidRDefault="00AD7785">
      <w:pPr>
        <w:rPr>
          <w:rFonts w:ascii="Montserrat" w:eastAsia="Montserrat" w:hAnsi="Montserrat" w:cs="Montserrat"/>
          <w:color w:val="999999"/>
          <w:highlight w:val="white"/>
        </w:rPr>
      </w:pPr>
      <w:r>
        <w:rPr>
          <w:rFonts w:ascii="Montserrat" w:eastAsia="Montserrat" w:hAnsi="Montserrat" w:cs="Montserrat"/>
          <w:color w:val="999999"/>
          <w:highlight w:val="white"/>
        </w:rPr>
        <w:t>[Full Name]</w:t>
      </w:r>
    </w:p>
    <w:p w14:paraId="00000022" w14:textId="77777777" w:rsidR="001E0959" w:rsidRDefault="001E0959">
      <w:pPr>
        <w:rPr>
          <w:rFonts w:ascii="Montserrat" w:eastAsia="Montserrat" w:hAnsi="Montserrat" w:cs="Montserrat"/>
        </w:rPr>
      </w:pPr>
    </w:p>
    <w:p w14:paraId="00000023" w14:textId="77777777" w:rsidR="001E0959" w:rsidRDefault="001E0959"/>
    <w:p w14:paraId="00000024" w14:textId="77777777" w:rsidR="001E0959" w:rsidRDefault="001E0959"/>
    <w:sectPr w:rsidR="001E09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959"/>
    <w:rsid w:val="00013080"/>
    <w:rsid w:val="001E0959"/>
    <w:rsid w:val="00823950"/>
    <w:rsid w:val="00A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1C0D"/>
  <w15:docId w15:val="{4FE76166-04EE-407E-9DD5-4CDFCF3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8977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lancet.com/journals/lanepe/article/PIIS2666-7762(21)00258-1/fulltext?s=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rxiv.org/content/10.1101/2021.10.20.21265137v1" TargetMode="External"/><Relationship Id="rId11" Type="http://schemas.openxmlformats.org/officeDocument/2006/relationships/hyperlink" Target="https://brownstone.org/articles/79-research-studies-affirm-naturally-acquired-immunity-to-covid-19-documented-linked-and-quoted/" TargetMode="External"/><Relationship Id="rId5" Type="http://schemas.openxmlformats.org/officeDocument/2006/relationships/hyperlink" Target="https://www.science.org/doi/10.1126/science.abm0620" TargetMode="External"/><Relationship Id="rId10" Type="http://schemas.openxmlformats.org/officeDocument/2006/relationships/hyperlink" Target="https://www.ncbi.nlm.nih.gov/pmc/articles/PMC7532802/" TargetMode="External"/><Relationship Id="rId4" Type="http://schemas.openxmlformats.org/officeDocument/2006/relationships/hyperlink" Target="https://www.pandata.org/informed-consent/" TargetMode="External"/><Relationship Id="rId9" Type="http://schemas.openxmlformats.org/officeDocument/2006/relationships/hyperlink" Target="https://academic.oup.com/cid/article/72/11/e921/591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48" baseType="variant">
      <vt:variant>
        <vt:i4>12</vt:i4>
      </vt:variant>
      <vt:variant>
        <vt:i4>21</vt:i4>
      </vt:variant>
      <vt:variant>
        <vt:i4>0</vt:i4>
      </vt:variant>
      <vt:variant>
        <vt:i4>5</vt:i4>
      </vt:variant>
      <vt:variant>
        <vt:lpwstr>https://brownstone.org/articles/79-research-studies-affirm-naturally-acquired-immunity-to-covid-19-documented-linked-and-quoted/</vt:lpwstr>
      </vt:variant>
      <vt:variant>
        <vt:lpwstr/>
      </vt:variant>
      <vt:variant>
        <vt:i4>1704005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https://www.ncbi.nlm.nih.gov/pmc/articles/PMC7532802/</vt:lpwstr>
      </vt:variant>
      <vt:variant>
        <vt:lpwstr/>
      </vt:variant>
      <vt:variant>
        <vt:i4>7798897</vt:i4>
      </vt:variant>
      <vt:variant>
        <vt:i4>15</vt:i4>
      </vt:variant>
      <vt:variant>
        <vt:i4>0</vt:i4>
      </vt:variant>
      <vt:variant>
        <vt:i4>5</vt:i4>
      </vt:variant>
      <vt:variant>
        <vt:lpwstr>https://academic.oup.com/cid/article/72/11/e921/5912603</vt:lpwstr>
      </vt:variant>
      <vt:variant>
        <vt:lpwstr/>
      </vt:variant>
      <vt:variant>
        <vt:i4>3866691</vt:i4>
      </vt:variant>
      <vt:variant>
        <vt:i4>12</vt:i4>
      </vt:variant>
      <vt:variant>
        <vt:i4>0</vt:i4>
      </vt:variant>
      <vt:variant>
        <vt:i4>5</vt:i4>
      </vt:variant>
      <vt:variant>
        <vt:lpwstr>https://papers.ssrn.com/sol3/papers.cfm?abstract_id=3897733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https://www.thelancet.com/journals/lanepe/article/PIIS2666-7762(21)00258-1/fulltext?s=08</vt:lpwstr>
      </vt:variant>
      <vt:variant>
        <vt:lpwstr>%20</vt:lpwstr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https://www.medrxiv.org/content/10.1101/2021.10.20.21265137v1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https://www.science.org/doi/10.1126/science.abm0620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https://www.pandata.org/informed-consent/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 Russell</cp:lastModifiedBy>
  <cp:revision>2</cp:revision>
  <dcterms:created xsi:type="dcterms:W3CDTF">2021-12-21T05:16:00Z</dcterms:created>
  <dcterms:modified xsi:type="dcterms:W3CDTF">2021-12-21T05:16:00Z</dcterms:modified>
</cp:coreProperties>
</file>